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szCs w:val="21"/>
          <w:lang w:eastAsia="zh-CN"/>
        </w:rPr>
      </w:pPr>
      <w:r>
        <w:rPr>
          <w:rFonts w:hint="eastAsia" w:ascii="宋体" w:hAnsi="宋体"/>
          <w:szCs w:val="21"/>
          <w:lang w:eastAsia="zh-CN"/>
        </w:rPr>
        <w:t>201</w:t>
      </w:r>
      <w:r>
        <w:rPr>
          <w:rFonts w:hint="eastAsia" w:ascii="宋体" w:hAnsi="宋体"/>
          <w:szCs w:val="21"/>
          <w:lang w:val="en-US" w:eastAsia="zh-CN"/>
        </w:rPr>
        <w:t>9</w:t>
      </w:r>
      <w:r>
        <w:rPr>
          <w:rFonts w:hint="eastAsia" w:ascii="宋体" w:hAnsi="宋体"/>
          <w:szCs w:val="21"/>
          <w:lang w:eastAsia="zh-CN"/>
        </w:rPr>
        <w:t>年</w:t>
      </w:r>
      <w:r>
        <w:rPr>
          <w:rFonts w:hint="eastAsia" w:ascii="宋体" w:hAnsi="宋体"/>
          <w:szCs w:val="21"/>
          <w:lang w:val="en-US" w:eastAsia="zh-CN"/>
        </w:rPr>
        <w:t>3</w:t>
      </w:r>
      <w:r>
        <w:rPr>
          <w:rFonts w:hint="eastAsia" w:ascii="宋体" w:hAnsi="宋体"/>
          <w:szCs w:val="21"/>
          <w:lang w:eastAsia="zh-CN"/>
        </w:rPr>
        <w:t>月份全国计算机等级考试（NCRE）报名通知</w:t>
      </w:r>
    </w:p>
    <w:p>
      <w:pPr>
        <w:rPr>
          <w:rFonts w:hint="eastAsia" w:ascii="宋体" w:hAnsi="宋体"/>
          <w:szCs w:val="21"/>
          <w:lang w:eastAsia="zh-CN"/>
        </w:rPr>
      </w:pPr>
    </w:p>
    <w:p>
      <w:pPr>
        <w:rPr>
          <w:rFonts w:hint="eastAsia" w:ascii="宋体" w:hAnsi="宋体"/>
          <w:szCs w:val="21"/>
          <w:lang w:eastAsia="zh-CN"/>
        </w:rPr>
      </w:pPr>
      <w:r>
        <w:rPr>
          <w:rFonts w:hint="eastAsia" w:ascii="宋体" w:hAnsi="宋体"/>
          <w:szCs w:val="21"/>
          <w:lang w:eastAsia="zh-CN"/>
        </w:rPr>
        <w:t>全国计算机等级考试（简称NCRE）是经国家现教育部批准，由教育部考试中心主办，面向社会，用于考查应试人员计算机应用知识与能力的全国性权威计算机水平考试体系，该证书全国通用，每年参加考试人数已达数百万人。目前，许多企事业单位、党委机关部门把持有全国计算机等级考试合格证书作为人员聘用、职务晋升、职称评定、上岗资格的重要依据之一。考试方式全部采用无纸化，一级、四级考试时间均为</w:t>
      </w:r>
      <w:r>
        <w:rPr>
          <w:rFonts w:hint="eastAsia" w:ascii="宋体" w:hAnsi="宋体"/>
          <w:szCs w:val="21"/>
          <w:lang w:val="en-US" w:eastAsia="zh-CN"/>
        </w:rPr>
        <w:t>90分钟；二级、三级考试时间均为120分钟。</w:t>
      </w:r>
      <w:r>
        <w:rPr>
          <w:rFonts w:hint="eastAsia" w:ascii="宋体" w:hAnsi="宋体"/>
          <w:szCs w:val="21"/>
          <w:lang w:eastAsia="zh-CN"/>
        </w:rPr>
        <w:t>根据教育部考试中心的工作安排，201</w:t>
      </w:r>
      <w:r>
        <w:rPr>
          <w:rFonts w:hint="eastAsia" w:ascii="宋体" w:hAnsi="宋体"/>
          <w:szCs w:val="21"/>
          <w:lang w:val="en-US" w:eastAsia="zh-CN"/>
        </w:rPr>
        <w:t>9</w:t>
      </w:r>
      <w:r>
        <w:rPr>
          <w:rFonts w:hint="eastAsia" w:ascii="宋体" w:hAnsi="宋体"/>
          <w:szCs w:val="21"/>
          <w:lang w:eastAsia="zh-CN"/>
        </w:rPr>
        <w:t>年上半年全国计算机等级考试将于3月30日至4月1日举行，报名工作即日开始，现将有关事项通知如下：</w:t>
      </w:r>
    </w:p>
    <w:p>
      <w:pPr>
        <w:rPr>
          <w:rFonts w:hint="eastAsia" w:ascii="宋体" w:hAnsi="宋体"/>
          <w:szCs w:val="21"/>
          <w:lang w:eastAsia="zh-CN"/>
        </w:rPr>
      </w:pPr>
    </w:p>
    <w:p>
      <w:pPr>
        <w:spacing w:line="0" w:lineRule="atLeast"/>
        <w:ind w:left="1240"/>
        <w:rPr>
          <w:rFonts w:ascii="黑体" w:hAnsi="黑体" w:eastAsia="黑体"/>
          <w:sz w:val="32"/>
        </w:rPr>
      </w:pPr>
      <w:r>
        <w:rPr>
          <w:rFonts w:ascii="黑体" w:hAnsi="黑体" w:eastAsia="黑体"/>
          <w:sz w:val="32"/>
        </w:rPr>
        <w:t>全国计算机等级考试证书体系（2018 版）</w:t>
      </w:r>
    </w:p>
    <w:p>
      <w:pPr>
        <w:spacing w:line="135" w:lineRule="exact"/>
        <w:rPr>
          <w:rFonts w:ascii="Times New Roman" w:hAnsi="Times New Roman" w:eastAsia="Times New Roman"/>
        </w:rPr>
      </w:pPr>
    </w:p>
    <w:tbl>
      <w:tblPr>
        <w:tblStyle w:val="3"/>
        <w:tblW w:w="8020" w:type="dxa"/>
        <w:tblInd w:w="1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60"/>
        <w:gridCol w:w="1100"/>
        <w:gridCol w:w="100"/>
        <w:gridCol w:w="2460"/>
        <w:gridCol w:w="3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71" w:hRule="atLeast"/>
        </w:trPr>
        <w:tc>
          <w:tcPr>
            <w:tcW w:w="760" w:type="dxa"/>
            <w:tcBorders>
              <w:top w:val="single" w:color="auto" w:sz="8" w:space="0"/>
              <w:left w:val="single" w:color="auto" w:sz="8" w:space="0"/>
              <w:right w:val="single" w:color="auto" w:sz="8" w:space="0"/>
            </w:tcBorders>
            <w:shd w:val="clear" w:color="auto" w:fill="auto"/>
            <w:vAlign w:val="bottom"/>
          </w:tcPr>
          <w:p>
            <w:pPr>
              <w:spacing w:line="250" w:lineRule="exact"/>
              <w:ind w:left="160"/>
              <w:rPr>
                <w:rFonts w:ascii="宋体" w:hAnsi="宋体" w:eastAsia="宋体"/>
                <w:b/>
                <w:sz w:val="22"/>
              </w:rPr>
            </w:pPr>
            <w:r>
              <w:rPr>
                <w:rFonts w:ascii="宋体" w:hAnsi="宋体" w:eastAsia="宋体"/>
                <w:b/>
                <w:sz w:val="22"/>
              </w:rPr>
              <w:t>级别</w:t>
            </w:r>
          </w:p>
        </w:tc>
        <w:tc>
          <w:tcPr>
            <w:tcW w:w="1100" w:type="dxa"/>
            <w:tcBorders>
              <w:top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tcBorders>
              <w:top w:val="single" w:color="auto" w:sz="8" w:space="0"/>
            </w:tcBorders>
            <w:shd w:val="clear" w:color="auto" w:fill="auto"/>
            <w:vAlign w:val="bottom"/>
          </w:tcPr>
          <w:p>
            <w:pPr>
              <w:spacing w:line="0" w:lineRule="atLeast"/>
              <w:rPr>
                <w:rFonts w:ascii="Times New Roman" w:hAnsi="Times New Roman" w:eastAsia="Times New Roman"/>
                <w:sz w:val="24"/>
              </w:rPr>
            </w:pPr>
          </w:p>
        </w:tc>
        <w:tc>
          <w:tcPr>
            <w:tcW w:w="2460" w:type="dxa"/>
            <w:tcBorders>
              <w:top w:val="single" w:color="auto" w:sz="8" w:space="0"/>
              <w:right w:val="single" w:color="auto" w:sz="8" w:space="0"/>
            </w:tcBorders>
            <w:shd w:val="clear" w:color="auto" w:fill="auto"/>
            <w:vAlign w:val="bottom"/>
          </w:tcPr>
          <w:p>
            <w:pPr>
              <w:spacing w:line="250" w:lineRule="exact"/>
              <w:ind w:left="160"/>
              <w:rPr>
                <w:rFonts w:ascii="宋体" w:hAnsi="宋体" w:eastAsia="宋体"/>
                <w:b/>
                <w:sz w:val="22"/>
              </w:rPr>
            </w:pPr>
            <w:r>
              <w:rPr>
                <w:rFonts w:ascii="宋体" w:hAnsi="宋体" w:eastAsia="宋体"/>
                <w:b/>
                <w:sz w:val="22"/>
              </w:rPr>
              <w:t>证书种类</w:t>
            </w:r>
          </w:p>
        </w:tc>
        <w:tc>
          <w:tcPr>
            <w:tcW w:w="3600" w:type="dxa"/>
            <w:tcBorders>
              <w:top w:val="single" w:color="auto" w:sz="8" w:space="0"/>
              <w:right w:val="single" w:color="auto" w:sz="8" w:space="0"/>
            </w:tcBorders>
            <w:shd w:val="clear" w:color="auto" w:fill="auto"/>
            <w:vAlign w:val="bottom"/>
          </w:tcPr>
          <w:p>
            <w:pPr>
              <w:spacing w:line="250" w:lineRule="exact"/>
              <w:jc w:val="center"/>
              <w:rPr>
                <w:rFonts w:ascii="宋体" w:hAnsi="宋体" w:eastAsia="宋体"/>
                <w:b/>
                <w:w w:val="99"/>
                <w:sz w:val="22"/>
              </w:rPr>
            </w:pPr>
            <w:r>
              <w:rPr>
                <w:rFonts w:ascii="宋体" w:hAnsi="宋体" w:eastAsia="宋体"/>
                <w:b/>
                <w:w w:val="99"/>
                <w:sz w:val="22"/>
              </w:rPr>
              <w:t>获证条件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6" w:hRule="atLeast"/>
        </w:trPr>
        <w:tc>
          <w:tcPr>
            <w:tcW w:w="760" w:type="dxa"/>
            <w:tcBorders>
              <w:left w:val="single" w:color="auto" w:sz="8" w:space="0"/>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0"/>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10"/>
              </w:rPr>
            </w:pPr>
          </w:p>
        </w:tc>
        <w:tc>
          <w:tcPr>
            <w:tcW w:w="2560" w:type="dxa"/>
            <w:gridSpan w:val="2"/>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0"/>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60" w:type="dxa"/>
            <w:gridSpan w:val="3"/>
            <w:tcBorders>
              <w:right w:val="single" w:color="auto" w:sz="8" w:space="0"/>
            </w:tcBorders>
            <w:shd w:val="clear" w:color="auto" w:fill="auto"/>
            <w:vAlign w:val="bottom"/>
          </w:tcPr>
          <w:p>
            <w:pPr>
              <w:spacing w:line="278" w:lineRule="exact"/>
              <w:ind w:left="80"/>
              <w:rPr>
                <w:rFonts w:ascii="宋体" w:hAnsi="宋体" w:eastAsia="宋体"/>
                <w:sz w:val="22"/>
              </w:rPr>
            </w:pPr>
            <w:r>
              <w:rPr>
                <w:rFonts w:ascii="宋体" w:hAnsi="宋体" w:eastAsia="宋体"/>
                <w:sz w:val="22"/>
              </w:rPr>
              <w:t xml:space="preserve">计算机基础及 </w:t>
            </w:r>
            <w:r>
              <w:rPr>
                <w:sz w:val="22"/>
              </w:rPr>
              <w:t>WPS Office</w:t>
            </w:r>
            <w:r>
              <w:rPr>
                <w:rFonts w:ascii="宋体" w:hAnsi="宋体" w:eastAsia="宋体"/>
                <w:sz w:val="22"/>
              </w:rPr>
              <w:t xml:space="preserve"> 应用</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14</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560" w:type="dxa"/>
            <w:gridSpan w:val="2"/>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vMerge w:val="restart"/>
            <w:tcBorders>
              <w:left w:val="single" w:color="auto" w:sz="8" w:space="0"/>
              <w:right w:val="single" w:color="auto" w:sz="8" w:space="0"/>
            </w:tcBorders>
            <w:shd w:val="clear" w:color="auto" w:fill="auto"/>
            <w:vAlign w:val="bottom"/>
          </w:tcPr>
          <w:p>
            <w:pPr>
              <w:spacing w:line="250" w:lineRule="exact"/>
              <w:ind w:left="160"/>
              <w:rPr>
                <w:rFonts w:ascii="宋体" w:hAnsi="宋体" w:eastAsia="宋体"/>
                <w:sz w:val="22"/>
              </w:rPr>
            </w:pPr>
            <w:r>
              <w:rPr>
                <w:rFonts w:ascii="宋体" w:hAnsi="宋体" w:eastAsia="宋体"/>
                <w:sz w:val="22"/>
              </w:rPr>
              <w:t>一级</w:t>
            </w:r>
          </w:p>
        </w:tc>
        <w:tc>
          <w:tcPr>
            <w:tcW w:w="3660" w:type="dxa"/>
            <w:gridSpan w:val="3"/>
            <w:tcBorders>
              <w:right w:val="single" w:color="auto" w:sz="8" w:space="0"/>
            </w:tcBorders>
            <w:shd w:val="clear" w:color="auto" w:fill="auto"/>
            <w:vAlign w:val="bottom"/>
          </w:tcPr>
          <w:p>
            <w:pPr>
              <w:spacing w:line="278" w:lineRule="exact"/>
              <w:ind w:left="80"/>
              <w:rPr>
                <w:rFonts w:ascii="宋体" w:hAnsi="宋体" w:eastAsia="宋体"/>
                <w:sz w:val="22"/>
              </w:rPr>
            </w:pPr>
            <w:r>
              <w:rPr>
                <w:rFonts w:ascii="宋体" w:hAnsi="宋体" w:eastAsia="宋体"/>
                <w:sz w:val="22"/>
              </w:rPr>
              <w:t xml:space="preserve">计算机基础及 </w:t>
            </w:r>
            <w:r>
              <w:rPr>
                <w:sz w:val="22"/>
              </w:rPr>
              <w:t>MS Office</w:t>
            </w:r>
            <w:r>
              <w:rPr>
                <w:rFonts w:ascii="宋体" w:hAnsi="宋体" w:eastAsia="宋体"/>
                <w:sz w:val="22"/>
              </w:rPr>
              <w:t xml:space="preserve"> 应用</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15</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vMerge w:val="continue"/>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 w:hRule="atLeast"/>
        </w:trPr>
        <w:tc>
          <w:tcPr>
            <w:tcW w:w="760" w:type="dxa"/>
            <w:vMerge w:val="continue"/>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8"/>
              </w:rPr>
            </w:pPr>
          </w:p>
        </w:tc>
        <w:tc>
          <w:tcPr>
            <w:tcW w:w="3660" w:type="dxa"/>
            <w:gridSpan w:val="3"/>
            <w:vMerge w:val="restart"/>
            <w:tcBorders>
              <w:right w:val="single" w:color="auto" w:sz="8" w:space="0"/>
            </w:tcBorders>
            <w:shd w:val="clear" w:color="auto" w:fill="auto"/>
            <w:vAlign w:val="bottom"/>
          </w:tcPr>
          <w:p>
            <w:pPr>
              <w:spacing w:line="278" w:lineRule="exact"/>
              <w:ind w:left="80"/>
              <w:rPr>
                <w:rFonts w:ascii="宋体" w:hAnsi="宋体" w:eastAsia="宋体"/>
                <w:sz w:val="22"/>
              </w:rPr>
            </w:pPr>
            <w:r>
              <w:rPr>
                <w:rFonts w:ascii="宋体" w:hAnsi="宋体" w:eastAsia="宋体"/>
                <w:sz w:val="22"/>
              </w:rPr>
              <w:t xml:space="preserve">计算机基础及 </w:t>
            </w:r>
            <w:r>
              <w:rPr>
                <w:sz w:val="22"/>
              </w:rPr>
              <w:t>Photoshop</w:t>
            </w:r>
            <w:r>
              <w:rPr>
                <w:rFonts w:ascii="宋体" w:hAnsi="宋体" w:eastAsia="宋体"/>
                <w:sz w:val="22"/>
              </w:rPr>
              <w:t xml:space="preserve"> 应用</w:t>
            </w: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16</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1"/>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21"/>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560" w:type="dxa"/>
            <w:gridSpan w:val="2"/>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17"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60" w:type="dxa"/>
            <w:gridSpan w:val="3"/>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网络安全素质教育</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17</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0" w:hRule="atLeast"/>
        </w:trPr>
        <w:tc>
          <w:tcPr>
            <w:tcW w:w="760" w:type="dxa"/>
            <w:tcBorders>
              <w:left w:val="single" w:color="auto" w:sz="8" w:space="0"/>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9"/>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9"/>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9"/>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9"/>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C </w:t>
            </w:r>
            <w:r>
              <w:rPr>
                <w:rFonts w:ascii="宋体" w:hAnsi="宋体" w:eastAsia="宋体"/>
                <w:sz w:val="22"/>
              </w:rPr>
              <w:t>语言程序设计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24</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VB </w:t>
            </w:r>
            <w:r>
              <w:rPr>
                <w:rFonts w:ascii="宋体" w:hAnsi="宋体" w:eastAsia="宋体"/>
                <w:sz w:val="22"/>
              </w:rPr>
              <w:t>语言程序设计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26</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3"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语言程序</w:t>
            </w: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Java </w:t>
            </w:r>
            <w:r>
              <w:rPr>
                <w:rFonts w:ascii="宋体" w:hAnsi="宋体" w:eastAsia="宋体"/>
                <w:sz w:val="22"/>
              </w:rPr>
              <w:t>语言程序设计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28</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c>
          <w:tcPr>
            <w:tcW w:w="1100" w:type="dxa"/>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设计类</w:t>
            </w: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6"/>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C++</w:t>
            </w:r>
            <w:r>
              <w:rPr>
                <w:rFonts w:ascii="宋体" w:hAnsi="宋体" w:eastAsia="宋体"/>
                <w:sz w:val="22"/>
              </w:rPr>
              <w:t>语言程序设计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61</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760" w:type="dxa"/>
            <w:tcBorders>
              <w:left w:val="single" w:color="auto" w:sz="8" w:space="0"/>
              <w:right w:val="single" w:color="auto" w:sz="8" w:space="0"/>
            </w:tcBorders>
            <w:shd w:val="clear" w:color="auto" w:fill="auto"/>
            <w:vAlign w:val="bottom"/>
          </w:tcPr>
          <w:p>
            <w:pPr>
              <w:spacing w:line="250" w:lineRule="exact"/>
              <w:ind w:left="160"/>
              <w:rPr>
                <w:rFonts w:ascii="宋体" w:hAnsi="宋体" w:eastAsia="宋体"/>
                <w:sz w:val="22"/>
              </w:rPr>
            </w:pPr>
            <w:r>
              <w:rPr>
                <w:rFonts w:ascii="宋体" w:hAnsi="宋体" w:eastAsia="宋体"/>
                <w:sz w:val="22"/>
              </w:rPr>
              <w:t>二级</w:t>
            </w: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Web </w:t>
            </w:r>
            <w:r>
              <w:rPr>
                <w:rFonts w:ascii="宋体" w:hAnsi="宋体" w:eastAsia="宋体"/>
                <w:sz w:val="22"/>
              </w:rPr>
              <w:t>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64</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Python </w:t>
            </w:r>
            <w:r>
              <w:rPr>
                <w:rFonts w:ascii="宋体" w:hAnsi="宋体" w:eastAsia="宋体"/>
                <w:sz w:val="22"/>
              </w:rPr>
              <w:t>语言程序设计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66</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3"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数据库程</w:t>
            </w: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Access </w:t>
            </w:r>
            <w:r>
              <w:rPr>
                <w:rFonts w:ascii="宋体" w:hAnsi="宋体" w:eastAsia="宋体"/>
                <w:sz w:val="22"/>
              </w:rPr>
              <w:t>数据库程序设计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29</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c>
          <w:tcPr>
            <w:tcW w:w="1100" w:type="dxa"/>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序设计类</w:t>
            </w: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6"/>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2"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MySQL </w:t>
            </w:r>
            <w:r>
              <w:rPr>
                <w:rFonts w:ascii="宋体" w:hAnsi="宋体" w:eastAsia="宋体"/>
                <w:sz w:val="22"/>
              </w:rPr>
              <w:t>数据库程序设计</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63</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100" w:type="dxa"/>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办公软件</w:t>
            </w:r>
          </w:p>
        </w:tc>
        <w:tc>
          <w:tcPr>
            <w:tcW w:w="100" w:type="dxa"/>
            <w:shd w:val="clear" w:color="auto" w:fill="auto"/>
            <w:vAlign w:val="bottom"/>
          </w:tcPr>
          <w:p>
            <w:pPr>
              <w:spacing w:line="0" w:lineRule="atLeast"/>
              <w:rPr>
                <w:rFonts w:ascii="Times New Roman" w:hAnsi="Times New Roman" w:eastAsia="Times New Roman"/>
                <w:sz w:val="24"/>
              </w:rPr>
            </w:pPr>
          </w:p>
        </w:tc>
        <w:tc>
          <w:tcPr>
            <w:tcW w:w="2460" w:type="dxa"/>
            <w:tcBorders>
              <w:right w:val="single" w:color="auto" w:sz="8" w:space="0"/>
            </w:tcBorders>
            <w:shd w:val="clear" w:color="auto" w:fill="auto"/>
            <w:vAlign w:val="bottom"/>
          </w:tcPr>
          <w:p>
            <w:pPr>
              <w:spacing w:line="278" w:lineRule="exact"/>
              <w:rPr>
                <w:rFonts w:ascii="宋体" w:hAnsi="宋体" w:eastAsia="宋体"/>
                <w:sz w:val="22"/>
              </w:rPr>
            </w:pPr>
            <w:r>
              <w:rPr>
                <w:sz w:val="22"/>
              </w:rPr>
              <w:t xml:space="preserve">MS Office </w:t>
            </w:r>
            <w:r>
              <w:rPr>
                <w:rFonts w:ascii="宋体" w:hAnsi="宋体" w:eastAsia="宋体"/>
                <w:sz w:val="22"/>
              </w:rPr>
              <w:t>高级应用</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4"/>
                <w:sz w:val="22"/>
              </w:rPr>
            </w:pPr>
            <w:r>
              <w:rPr>
                <w:rFonts w:ascii="宋体" w:hAnsi="宋体" w:eastAsia="宋体"/>
                <w:w w:val="94"/>
                <w:sz w:val="22"/>
              </w:rPr>
              <w:t xml:space="preserve">科目 </w:t>
            </w:r>
            <w:r>
              <w:rPr>
                <w:w w:val="94"/>
                <w:sz w:val="22"/>
              </w:rPr>
              <w:t>65</w:t>
            </w:r>
            <w:r>
              <w:rPr>
                <w:rFonts w:ascii="宋体" w:hAnsi="宋体" w:eastAsia="宋体"/>
                <w:w w:val="94"/>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200" w:type="dxa"/>
            <w:gridSpan w:val="2"/>
            <w:shd w:val="clear" w:color="auto" w:fill="auto"/>
            <w:vAlign w:val="bottom"/>
          </w:tcPr>
          <w:p>
            <w:pPr>
              <w:spacing w:line="250" w:lineRule="exact"/>
              <w:ind w:left="80"/>
              <w:rPr>
                <w:rFonts w:ascii="宋体" w:hAnsi="宋体" w:eastAsia="宋体"/>
                <w:sz w:val="22"/>
              </w:rPr>
            </w:pPr>
            <w:r>
              <w:rPr>
                <w:rFonts w:ascii="宋体" w:hAnsi="宋体" w:eastAsia="宋体"/>
                <w:sz w:val="22"/>
              </w:rPr>
              <w:t>网络技术</w:t>
            </w: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三级科目 </w:t>
            </w:r>
            <w:r>
              <w:rPr>
                <w:w w:val="95"/>
                <w:sz w:val="22"/>
              </w:rPr>
              <w:t>35</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200" w:type="dxa"/>
            <w:gridSpan w:val="2"/>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vMerge w:val="restart"/>
            <w:tcBorders>
              <w:left w:val="single" w:color="auto" w:sz="8" w:space="0"/>
              <w:right w:val="single" w:color="auto" w:sz="8" w:space="0"/>
            </w:tcBorders>
            <w:shd w:val="clear" w:color="auto" w:fill="auto"/>
            <w:vAlign w:val="bottom"/>
          </w:tcPr>
          <w:p>
            <w:pPr>
              <w:spacing w:line="250" w:lineRule="exact"/>
              <w:ind w:left="120"/>
              <w:rPr>
                <w:rFonts w:ascii="宋体" w:hAnsi="宋体" w:eastAsia="宋体"/>
                <w:sz w:val="22"/>
              </w:rPr>
            </w:pPr>
            <w:r>
              <w:rPr>
                <w:rFonts w:ascii="宋体" w:hAnsi="宋体" w:eastAsia="宋体"/>
                <w:sz w:val="22"/>
              </w:rPr>
              <w:t>三级</w:t>
            </w:r>
          </w:p>
        </w:tc>
        <w:tc>
          <w:tcPr>
            <w:tcW w:w="1200" w:type="dxa"/>
            <w:gridSpan w:val="2"/>
            <w:shd w:val="clear" w:color="auto" w:fill="auto"/>
            <w:vAlign w:val="bottom"/>
          </w:tcPr>
          <w:p>
            <w:pPr>
              <w:spacing w:line="250" w:lineRule="exact"/>
              <w:ind w:left="80"/>
              <w:rPr>
                <w:rFonts w:ascii="宋体" w:hAnsi="宋体" w:eastAsia="宋体"/>
                <w:w w:val="99"/>
                <w:sz w:val="22"/>
              </w:rPr>
            </w:pPr>
            <w:r>
              <w:rPr>
                <w:rFonts w:ascii="宋体" w:hAnsi="宋体" w:eastAsia="宋体"/>
                <w:w w:val="99"/>
                <w:sz w:val="22"/>
              </w:rPr>
              <w:t>数据库技术</w:t>
            </w: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三级科目 </w:t>
            </w:r>
            <w:r>
              <w:rPr>
                <w:w w:val="95"/>
                <w:sz w:val="22"/>
              </w:rPr>
              <w:t>36</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vMerge w:val="continue"/>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 w:hRule="atLeast"/>
        </w:trPr>
        <w:tc>
          <w:tcPr>
            <w:tcW w:w="760" w:type="dxa"/>
            <w:vMerge w:val="continue"/>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8"/>
              </w:rPr>
            </w:pPr>
          </w:p>
        </w:tc>
        <w:tc>
          <w:tcPr>
            <w:tcW w:w="3660" w:type="dxa"/>
            <w:gridSpan w:val="3"/>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信息安全技术</w:t>
            </w: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三级科目 </w:t>
            </w:r>
            <w:r>
              <w:rPr>
                <w:w w:val="95"/>
                <w:sz w:val="22"/>
              </w:rPr>
              <w:t>38</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7"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1"/>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21"/>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8"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60" w:type="dxa"/>
            <w:gridSpan w:val="3"/>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1"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60" w:type="dxa"/>
            <w:gridSpan w:val="3"/>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嵌入式系统开发技术</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三级科目 </w:t>
            </w:r>
            <w:r>
              <w:rPr>
                <w:w w:val="95"/>
                <w:sz w:val="22"/>
              </w:rPr>
              <w:t>39</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 w:hRule="atLeast"/>
        </w:trPr>
        <w:tc>
          <w:tcPr>
            <w:tcW w:w="760" w:type="dxa"/>
            <w:tcBorders>
              <w:left w:val="single" w:color="auto" w:sz="8" w:space="0"/>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9"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1200" w:type="dxa"/>
            <w:gridSpan w:val="2"/>
            <w:vMerge w:val="restart"/>
            <w:shd w:val="clear" w:color="auto" w:fill="auto"/>
            <w:vAlign w:val="bottom"/>
          </w:tcPr>
          <w:p>
            <w:pPr>
              <w:spacing w:line="250" w:lineRule="exact"/>
              <w:ind w:left="80"/>
              <w:rPr>
                <w:rFonts w:ascii="宋体" w:hAnsi="宋体" w:eastAsia="宋体"/>
                <w:w w:val="99"/>
                <w:sz w:val="22"/>
              </w:rPr>
            </w:pPr>
            <w:r>
              <w:rPr>
                <w:rFonts w:ascii="宋体" w:hAnsi="宋体" w:eastAsia="宋体"/>
                <w:w w:val="99"/>
                <w:sz w:val="22"/>
              </w:rPr>
              <w:t>网络工程师</w:t>
            </w: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获得三级科目 </w:t>
            </w:r>
            <w:r>
              <w:rPr>
                <w:w w:val="95"/>
                <w:sz w:val="22"/>
              </w:rPr>
              <w:t>35</w:t>
            </w:r>
            <w:r>
              <w:rPr>
                <w:rFonts w:ascii="宋体" w:hAnsi="宋体" w:eastAsia="宋体"/>
                <w:w w:val="95"/>
                <w:sz w:val="22"/>
              </w:rPr>
              <w:t xml:space="preserve"> 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2"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1200" w:type="dxa"/>
            <w:gridSpan w:val="2"/>
            <w:vMerge w:val="continue"/>
            <w:shd w:val="clear" w:color="auto" w:fill="auto"/>
            <w:vAlign w:val="bottom"/>
          </w:tcPr>
          <w:p>
            <w:pPr>
              <w:spacing w:line="0" w:lineRule="atLeast"/>
              <w:rPr>
                <w:rFonts w:ascii="Times New Roman" w:hAnsi="Times New Roman" w:eastAsia="Times New Roman"/>
                <w:sz w:val="11"/>
              </w:rPr>
            </w:pP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四级科目 </w:t>
            </w:r>
            <w:r>
              <w:rPr>
                <w:w w:val="95"/>
                <w:sz w:val="22"/>
              </w:rPr>
              <w:t>41</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03"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7"/>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17"/>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17"/>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7"/>
              </w:rPr>
            </w:pPr>
          </w:p>
        </w:tc>
        <w:tc>
          <w:tcPr>
            <w:tcW w:w="3600" w:type="dxa"/>
            <w:vMerge w:val="continue"/>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7"/>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9"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60" w:type="dxa"/>
            <w:gridSpan w:val="3"/>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数据库工程师</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获得三级科目 </w:t>
            </w:r>
            <w:r>
              <w:rPr>
                <w:w w:val="95"/>
                <w:sz w:val="22"/>
              </w:rPr>
              <w:t>36</w:t>
            </w:r>
            <w:r>
              <w:rPr>
                <w:rFonts w:ascii="宋体" w:hAnsi="宋体" w:eastAsia="宋体"/>
                <w:w w:val="95"/>
                <w:sz w:val="22"/>
              </w:rPr>
              <w:t xml:space="preserve"> 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2"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00" w:type="dxa"/>
            <w:vMerge w:val="restart"/>
            <w:tcBorders>
              <w:right w:val="single" w:color="auto" w:sz="8" w:space="0"/>
            </w:tcBorders>
            <w:shd w:val="clear" w:color="auto" w:fill="auto"/>
            <w:vAlign w:val="bottom"/>
          </w:tcPr>
          <w:p>
            <w:pPr>
              <w:spacing w:line="0" w:lineRule="atLeast"/>
              <w:jc w:val="center"/>
              <w:rPr>
                <w:rFonts w:ascii="宋体" w:hAnsi="宋体" w:eastAsia="宋体"/>
                <w:w w:val="95"/>
                <w:sz w:val="22"/>
              </w:rPr>
            </w:pPr>
            <w:r>
              <w:rPr>
                <w:rFonts w:ascii="宋体" w:hAnsi="宋体" w:eastAsia="宋体"/>
                <w:w w:val="95"/>
                <w:sz w:val="22"/>
              </w:rPr>
              <w:t xml:space="preserve">四级科目 </w:t>
            </w:r>
            <w:r>
              <w:rPr>
                <w:w w:val="95"/>
                <w:sz w:val="22"/>
              </w:rPr>
              <w:t>42</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0" w:hRule="atLeast"/>
        </w:trPr>
        <w:tc>
          <w:tcPr>
            <w:tcW w:w="760" w:type="dxa"/>
            <w:vMerge w:val="restart"/>
            <w:tcBorders>
              <w:left w:val="single" w:color="auto" w:sz="8" w:space="0"/>
              <w:right w:val="single" w:color="auto" w:sz="8" w:space="0"/>
            </w:tcBorders>
            <w:shd w:val="clear" w:color="auto" w:fill="auto"/>
            <w:vAlign w:val="bottom"/>
          </w:tcPr>
          <w:p>
            <w:pPr>
              <w:spacing w:line="250" w:lineRule="exact"/>
              <w:ind w:left="160"/>
              <w:rPr>
                <w:rFonts w:ascii="宋体" w:hAnsi="宋体" w:eastAsia="宋体"/>
                <w:sz w:val="22"/>
              </w:rPr>
            </w:pPr>
            <w:r>
              <w:rPr>
                <w:rFonts w:ascii="宋体" w:hAnsi="宋体" w:eastAsia="宋体"/>
                <w:sz w:val="22"/>
              </w:rPr>
              <w:t>四级</w:t>
            </w:r>
          </w:p>
        </w:tc>
        <w:tc>
          <w:tcPr>
            <w:tcW w:w="1100" w:type="dxa"/>
            <w:shd w:val="clear" w:color="auto" w:fill="auto"/>
            <w:vAlign w:val="bottom"/>
          </w:tcPr>
          <w:p>
            <w:pPr>
              <w:spacing w:line="0" w:lineRule="atLeast"/>
              <w:rPr>
                <w:rFonts w:ascii="Times New Roman" w:hAnsi="Times New Roman" w:eastAsia="Times New Roman"/>
                <w:sz w:val="15"/>
              </w:rPr>
            </w:pPr>
          </w:p>
        </w:tc>
        <w:tc>
          <w:tcPr>
            <w:tcW w:w="100" w:type="dxa"/>
            <w:shd w:val="clear" w:color="auto" w:fill="auto"/>
            <w:vAlign w:val="bottom"/>
          </w:tcPr>
          <w:p>
            <w:pPr>
              <w:spacing w:line="0" w:lineRule="atLeast"/>
              <w:rPr>
                <w:rFonts w:ascii="Times New Roman" w:hAnsi="Times New Roman" w:eastAsia="Times New Roman"/>
                <w:sz w:val="15"/>
              </w:rPr>
            </w:pP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15"/>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1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760" w:type="dxa"/>
            <w:vMerge w:val="continue"/>
            <w:tcBorders>
              <w:left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c>
          <w:tcPr>
            <w:tcW w:w="1100" w:type="dxa"/>
            <w:tcBorders>
              <w:bottom w:val="single" w:color="auto" w:sz="8" w:space="0"/>
            </w:tcBorders>
            <w:shd w:val="clear" w:color="auto" w:fill="auto"/>
            <w:vAlign w:val="bottom"/>
          </w:tcPr>
          <w:p>
            <w:pPr>
              <w:spacing w:line="20" w:lineRule="exact"/>
              <w:rPr>
                <w:rFonts w:ascii="Times New Roman" w:hAnsi="Times New Roman" w:eastAsia="Times New Roman"/>
                <w:sz w:val="1"/>
              </w:rPr>
            </w:pPr>
          </w:p>
        </w:tc>
        <w:tc>
          <w:tcPr>
            <w:tcW w:w="100" w:type="dxa"/>
            <w:tcBorders>
              <w:bottom w:val="single" w:color="auto" w:sz="8" w:space="0"/>
            </w:tcBorders>
            <w:shd w:val="clear" w:color="auto" w:fill="auto"/>
            <w:vAlign w:val="bottom"/>
          </w:tcPr>
          <w:p>
            <w:pPr>
              <w:spacing w:line="20" w:lineRule="exact"/>
              <w:rPr>
                <w:rFonts w:ascii="Times New Roman" w:hAnsi="Times New Roman" w:eastAsia="Times New Roman"/>
                <w:sz w:val="1"/>
              </w:rPr>
            </w:pPr>
          </w:p>
        </w:tc>
        <w:tc>
          <w:tcPr>
            <w:tcW w:w="2460" w:type="dxa"/>
            <w:tcBorders>
              <w:bottom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c>
          <w:tcPr>
            <w:tcW w:w="3600" w:type="dxa"/>
            <w:tcBorders>
              <w:bottom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 w:hRule="atLeast"/>
        </w:trPr>
        <w:tc>
          <w:tcPr>
            <w:tcW w:w="760" w:type="dxa"/>
            <w:vMerge w:val="continue"/>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8"/>
              </w:rPr>
            </w:pPr>
          </w:p>
        </w:tc>
        <w:tc>
          <w:tcPr>
            <w:tcW w:w="3660" w:type="dxa"/>
            <w:gridSpan w:val="3"/>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信息安全工程师</w:t>
            </w: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获得三级科目 </w:t>
            </w:r>
            <w:r>
              <w:rPr>
                <w:w w:val="95"/>
                <w:sz w:val="22"/>
              </w:rPr>
              <w:t>38</w:t>
            </w:r>
            <w:r>
              <w:rPr>
                <w:rFonts w:ascii="宋体" w:hAnsi="宋体" w:eastAsia="宋体"/>
                <w:w w:val="95"/>
                <w:sz w:val="22"/>
              </w:rPr>
              <w:t xml:space="preserve"> 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5"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6"/>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16"/>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2"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四级科目 </w:t>
            </w:r>
            <w:r>
              <w:rPr>
                <w:w w:val="95"/>
                <w:sz w:val="22"/>
              </w:rPr>
              <w:t>44</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0"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5"/>
              </w:rPr>
            </w:pPr>
          </w:p>
        </w:tc>
        <w:tc>
          <w:tcPr>
            <w:tcW w:w="1100" w:type="dxa"/>
            <w:shd w:val="clear" w:color="auto" w:fill="auto"/>
            <w:vAlign w:val="bottom"/>
          </w:tcPr>
          <w:p>
            <w:pPr>
              <w:spacing w:line="0" w:lineRule="atLeast"/>
              <w:rPr>
                <w:rFonts w:ascii="Times New Roman" w:hAnsi="Times New Roman" w:eastAsia="Times New Roman"/>
                <w:sz w:val="15"/>
              </w:rPr>
            </w:pPr>
          </w:p>
        </w:tc>
        <w:tc>
          <w:tcPr>
            <w:tcW w:w="100" w:type="dxa"/>
            <w:shd w:val="clear" w:color="auto" w:fill="auto"/>
            <w:vAlign w:val="bottom"/>
          </w:tcPr>
          <w:p>
            <w:pPr>
              <w:spacing w:line="0" w:lineRule="atLeast"/>
              <w:rPr>
                <w:rFonts w:ascii="Times New Roman" w:hAnsi="Times New Roman" w:eastAsia="Times New Roman"/>
                <w:sz w:val="15"/>
              </w:rPr>
            </w:pP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15"/>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1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 w:hRule="atLeast"/>
        </w:trPr>
        <w:tc>
          <w:tcPr>
            <w:tcW w:w="760" w:type="dxa"/>
            <w:tcBorders>
              <w:left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c>
          <w:tcPr>
            <w:tcW w:w="1100" w:type="dxa"/>
            <w:tcBorders>
              <w:bottom w:val="single" w:color="auto" w:sz="8" w:space="0"/>
            </w:tcBorders>
            <w:shd w:val="clear" w:color="auto" w:fill="auto"/>
            <w:vAlign w:val="bottom"/>
          </w:tcPr>
          <w:p>
            <w:pPr>
              <w:spacing w:line="20" w:lineRule="exact"/>
              <w:rPr>
                <w:rFonts w:ascii="Times New Roman" w:hAnsi="Times New Roman" w:eastAsia="Times New Roman"/>
                <w:sz w:val="1"/>
              </w:rPr>
            </w:pPr>
          </w:p>
        </w:tc>
        <w:tc>
          <w:tcPr>
            <w:tcW w:w="100" w:type="dxa"/>
            <w:tcBorders>
              <w:bottom w:val="single" w:color="auto" w:sz="8" w:space="0"/>
            </w:tcBorders>
            <w:shd w:val="clear" w:color="auto" w:fill="auto"/>
            <w:vAlign w:val="bottom"/>
          </w:tcPr>
          <w:p>
            <w:pPr>
              <w:spacing w:line="20" w:lineRule="exact"/>
              <w:rPr>
                <w:rFonts w:ascii="Times New Roman" w:hAnsi="Times New Roman" w:eastAsia="Times New Roman"/>
                <w:sz w:val="1"/>
              </w:rPr>
            </w:pPr>
          </w:p>
        </w:tc>
        <w:tc>
          <w:tcPr>
            <w:tcW w:w="2460" w:type="dxa"/>
            <w:tcBorders>
              <w:bottom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c>
          <w:tcPr>
            <w:tcW w:w="3600" w:type="dxa"/>
            <w:tcBorders>
              <w:bottom w:val="single" w:color="auto" w:sz="8" w:space="0"/>
              <w:right w:val="single" w:color="auto" w:sz="8" w:space="0"/>
            </w:tcBorders>
            <w:shd w:val="clear" w:color="auto" w:fill="auto"/>
            <w:vAlign w:val="bottom"/>
          </w:tcPr>
          <w:p>
            <w:pPr>
              <w:spacing w:line="20" w:lineRule="exact"/>
              <w:rPr>
                <w:rFonts w:ascii="Times New Roman" w:hAnsi="Times New Roman" w:eastAsia="Times New Roman"/>
                <w:sz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9"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4"/>
              </w:rPr>
            </w:pPr>
          </w:p>
        </w:tc>
        <w:tc>
          <w:tcPr>
            <w:tcW w:w="3660" w:type="dxa"/>
            <w:gridSpan w:val="3"/>
            <w:vMerge w:val="restart"/>
            <w:tcBorders>
              <w:right w:val="single" w:color="auto" w:sz="8" w:space="0"/>
            </w:tcBorders>
            <w:shd w:val="clear" w:color="auto" w:fill="auto"/>
            <w:vAlign w:val="bottom"/>
          </w:tcPr>
          <w:p>
            <w:pPr>
              <w:spacing w:line="250" w:lineRule="exact"/>
              <w:ind w:left="80"/>
              <w:rPr>
                <w:rFonts w:ascii="宋体" w:hAnsi="宋体" w:eastAsia="宋体"/>
                <w:sz w:val="22"/>
              </w:rPr>
            </w:pPr>
            <w:r>
              <w:rPr>
                <w:rFonts w:ascii="宋体" w:hAnsi="宋体" w:eastAsia="宋体"/>
                <w:sz w:val="22"/>
              </w:rPr>
              <w:t>嵌入式系统开发工程师</w:t>
            </w:r>
          </w:p>
        </w:tc>
        <w:tc>
          <w:tcPr>
            <w:tcW w:w="3600" w:type="dxa"/>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获得三级科目 </w:t>
            </w:r>
            <w:r>
              <w:rPr>
                <w:w w:val="95"/>
                <w:sz w:val="22"/>
              </w:rPr>
              <w:t>39</w:t>
            </w:r>
            <w:r>
              <w:rPr>
                <w:rFonts w:ascii="宋体" w:hAnsi="宋体" w:eastAsia="宋体"/>
                <w:w w:val="95"/>
                <w:sz w:val="22"/>
              </w:rPr>
              <w:t xml:space="preserve"> 证书，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32"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60" w:type="dxa"/>
            <w:gridSpan w:val="3"/>
            <w:vMerge w:val="continue"/>
            <w:tcBorders>
              <w:right w:val="single" w:color="auto" w:sz="8" w:space="0"/>
            </w:tcBorders>
            <w:shd w:val="clear" w:color="auto" w:fill="auto"/>
            <w:vAlign w:val="bottom"/>
          </w:tcPr>
          <w:p>
            <w:pPr>
              <w:spacing w:line="0" w:lineRule="atLeast"/>
              <w:rPr>
                <w:rFonts w:ascii="Times New Roman" w:hAnsi="Times New Roman" w:eastAsia="Times New Roman"/>
                <w:sz w:val="11"/>
              </w:rPr>
            </w:pPr>
          </w:p>
        </w:tc>
        <w:tc>
          <w:tcPr>
            <w:tcW w:w="3600" w:type="dxa"/>
            <w:vMerge w:val="restart"/>
            <w:tcBorders>
              <w:right w:val="single" w:color="auto" w:sz="8" w:space="0"/>
            </w:tcBorders>
            <w:shd w:val="clear" w:color="auto" w:fill="auto"/>
            <w:vAlign w:val="bottom"/>
          </w:tcPr>
          <w:p>
            <w:pPr>
              <w:spacing w:line="278" w:lineRule="exact"/>
              <w:jc w:val="center"/>
              <w:rPr>
                <w:rFonts w:ascii="宋体" w:hAnsi="宋体" w:eastAsia="宋体"/>
                <w:w w:val="95"/>
                <w:sz w:val="22"/>
              </w:rPr>
            </w:pPr>
            <w:r>
              <w:rPr>
                <w:rFonts w:ascii="宋体" w:hAnsi="宋体" w:eastAsia="宋体"/>
                <w:w w:val="95"/>
                <w:sz w:val="22"/>
              </w:rPr>
              <w:t xml:space="preserve">四级科目 </w:t>
            </w:r>
            <w:r>
              <w:rPr>
                <w:w w:val="95"/>
                <w:sz w:val="22"/>
              </w:rPr>
              <w:t>45</w:t>
            </w:r>
            <w:r>
              <w:rPr>
                <w:rFonts w:ascii="宋体" w:hAnsi="宋体" w:eastAsia="宋体"/>
                <w:w w:val="95"/>
                <w:sz w:val="22"/>
              </w:rPr>
              <w:t xml:space="preserve"> 考试合格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0" w:hRule="atLeast"/>
        </w:trPr>
        <w:tc>
          <w:tcPr>
            <w:tcW w:w="760" w:type="dxa"/>
            <w:tcBorders>
              <w:left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15"/>
              </w:rPr>
            </w:pPr>
          </w:p>
        </w:tc>
        <w:tc>
          <w:tcPr>
            <w:tcW w:w="1100" w:type="dxa"/>
            <w:shd w:val="clear" w:color="auto" w:fill="auto"/>
            <w:vAlign w:val="bottom"/>
          </w:tcPr>
          <w:p>
            <w:pPr>
              <w:spacing w:line="0" w:lineRule="atLeast"/>
              <w:rPr>
                <w:rFonts w:ascii="Times New Roman" w:hAnsi="Times New Roman" w:eastAsia="Times New Roman"/>
                <w:sz w:val="15"/>
              </w:rPr>
            </w:pPr>
          </w:p>
        </w:tc>
        <w:tc>
          <w:tcPr>
            <w:tcW w:w="100" w:type="dxa"/>
            <w:shd w:val="clear" w:color="auto" w:fill="auto"/>
            <w:vAlign w:val="bottom"/>
          </w:tcPr>
          <w:p>
            <w:pPr>
              <w:spacing w:line="0" w:lineRule="atLeast"/>
              <w:rPr>
                <w:rFonts w:ascii="Times New Roman" w:hAnsi="Times New Roman" w:eastAsia="Times New Roman"/>
                <w:sz w:val="15"/>
              </w:rPr>
            </w:pPr>
          </w:p>
        </w:tc>
        <w:tc>
          <w:tcPr>
            <w:tcW w:w="2460" w:type="dxa"/>
            <w:tcBorders>
              <w:right w:val="single" w:color="auto" w:sz="8" w:space="0"/>
            </w:tcBorders>
            <w:shd w:val="clear" w:color="auto" w:fill="auto"/>
            <w:vAlign w:val="bottom"/>
          </w:tcPr>
          <w:p>
            <w:pPr>
              <w:spacing w:line="0" w:lineRule="atLeast"/>
              <w:rPr>
                <w:rFonts w:ascii="Times New Roman" w:hAnsi="Times New Roman" w:eastAsia="Times New Roman"/>
                <w:sz w:val="15"/>
              </w:rPr>
            </w:pPr>
          </w:p>
        </w:tc>
        <w:tc>
          <w:tcPr>
            <w:tcW w:w="3600" w:type="dxa"/>
            <w:vMerge w:val="continue"/>
            <w:tcBorders>
              <w:right w:val="single" w:color="auto" w:sz="8" w:space="0"/>
            </w:tcBorders>
            <w:shd w:val="clear" w:color="auto" w:fill="auto"/>
            <w:vAlign w:val="bottom"/>
          </w:tcPr>
          <w:p>
            <w:pPr>
              <w:spacing w:line="0" w:lineRule="atLeast"/>
              <w:rPr>
                <w:rFonts w:ascii="Times New Roman" w:hAnsi="Times New Roman" w:eastAsia="Times New Roman"/>
                <w:sz w:val="15"/>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 w:hRule="atLeast"/>
        </w:trPr>
        <w:tc>
          <w:tcPr>
            <w:tcW w:w="760" w:type="dxa"/>
            <w:tcBorders>
              <w:left w:val="single" w:color="auto" w:sz="8" w:space="0"/>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
              </w:rPr>
            </w:pPr>
          </w:p>
        </w:tc>
        <w:tc>
          <w:tcPr>
            <w:tcW w:w="1100" w:type="dxa"/>
            <w:tcBorders>
              <w:bottom w:val="single" w:color="auto" w:sz="8" w:space="0"/>
            </w:tcBorders>
            <w:shd w:val="clear" w:color="auto" w:fill="auto"/>
            <w:vAlign w:val="bottom"/>
          </w:tcPr>
          <w:p>
            <w:pPr>
              <w:spacing w:line="0" w:lineRule="atLeast"/>
              <w:rPr>
                <w:rFonts w:ascii="Times New Roman" w:hAnsi="Times New Roman" w:eastAsia="Times New Roman"/>
                <w:sz w:val="2"/>
              </w:rPr>
            </w:pPr>
          </w:p>
        </w:tc>
        <w:tc>
          <w:tcPr>
            <w:tcW w:w="100" w:type="dxa"/>
            <w:tcBorders>
              <w:bottom w:val="single" w:color="auto" w:sz="8" w:space="0"/>
            </w:tcBorders>
            <w:shd w:val="clear" w:color="auto" w:fill="auto"/>
            <w:vAlign w:val="bottom"/>
          </w:tcPr>
          <w:p>
            <w:pPr>
              <w:spacing w:line="0" w:lineRule="atLeast"/>
              <w:rPr>
                <w:rFonts w:ascii="Times New Roman" w:hAnsi="Times New Roman" w:eastAsia="Times New Roman"/>
                <w:sz w:val="2"/>
              </w:rPr>
            </w:pPr>
          </w:p>
        </w:tc>
        <w:tc>
          <w:tcPr>
            <w:tcW w:w="246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
              </w:rPr>
            </w:pPr>
          </w:p>
        </w:tc>
        <w:tc>
          <w:tcPr>
            <w:tcW w:w="3600" w:type="dxa"/>
            <w:tcBorders>
              <w:bottom w:val="single" w:color="auto" w:sz="8" w:space="0"/>
              <w:right w:val="single" w:color="auto" w:sz="8" w:space="0"/>
            </w:tcBorders>
            <w:shd w:val="clear" w:color="auto" w:fill="auto"/>
            <w:vAlign w:val="bottom"/>
          </w:tcPr>
          <w:p>
            <w:pPr>
              <w:spacing w:line="0" w:lineRule="atLeast"/>
              <w:rPr>
                <w:rFonts w:ascii="Times New Roman" w:hAnsi="Times New Roman" w:eastAsia="Times New Roman"/>
                <w:sz w:val="2"/>
              </w:rPr>
            </w:pPr>
          </w:p>
        </w:tc>
      </w:tr>
    </w:tbl>
    <w:p>
      <w:pPr>
        <w:spacing w:line="360" w:lineRule="auto"/>
        <w:rPr>
          <w:rFonts w:hint="eastAsia" w:ascii="宋体" w:hAnsi="宋体" w:eastAsia="宋体"/>
          <w:color w:val="auto"/>
          <w:szCs w:val="21"/>
          <w:lang w:eastAsia="zh-CN"/>
        </w:rPr>
      </w:pPr>
    </w:p>
    <w:p>
      <w:pPr>
        <w:spacing w:line="360" w:lineRule="auto"/>
        <w:rPr>
          <w:rFonts w:hint="eastAsia" w:ascii="宋体" w:hAnsi="宋体"/>
          <w:color w:val="auto"/>
          <w:szCs w:val="21"/>
        </w:rPr>
      </w:pPr>
      <w:r>
        <w:rPr>
          <w:rFonts w:hint="eastAsia" w:ascii="宋体" w:hAnsi="宋体"/>
          <w:color w:val="auto"/>
          <w:szCs w:val="21"/>
        </w:rPr>
        <w:t>＊注：三级获证</w:t>
      </w:r>
      <w:r>
        <w:rPr>
          <w:rFonts w:hint="eastAsia" w:ascii="宋体" w:hAnsi="宋体"/>
          <w:color w:val="auto"/>
          <w:szCs w:val="21"/>
          <w:lang w:eastAsia="zh-CN"/>
        </w:rPr>
        <w:t>无需</w:t>
      </w:r>
      <w:r>
        <w:rPr>
          <w:rFonts w:hint="eastAsia" w:ascii="宋体" w:hAnsi="宋体"/>
          <w:color w:val="auto"/>
          <w:szCs w:val="21"/>
        </w:rPr>
        <w:t>先获得二级</w:t>
      </w:r>
      <w:r>
        <w:rPr>
          <w:rFonts w:hint="eastAsia" w:ascii="宋体" w:hAnsi="宋体"/>
          <w:color w:val="auto"/>
          <w:szCs w:val="21"/>
          <w:lang w:eastAsia="zh-CN"/>
        </w:rPr>
        <w:t>相关</w:t>
      </w:r>
      <w:r>
        <w:rPr>
          <w:rFonts w:hint="eastAsia" w:ascii="宋体" w:hAnsi="宋体"/>
          <w:color w:val="auto"/>
          <w:szCs w:val="21"/>
        </w:rPr>
        <w:t>证书，四级获证应先获得三级</w:t>
      </w:r>
      <w:r>
        <w:rPr>
          <w:rFonts w:hint="eastAsia" w:ascii="宋体" w:hAnsi="宋体"/>
          <w:color w:val="auto"/>
          <w:szCs w:val="21"/>
          <w:lang w:eastAsia="zh-CN"/>
        </w:rPr>
        <w:t>相关</w:t>
      </w:r>
      <w:r>
        <w:rPr>
          <w:rFonts w:hint="eastAsia" w:ascii="宋体" w:hAnsi="宋体"/>
          <w:color w:val="auto"/>
          <w:szCs w:val="21"/>
        </w:rPr>
        <w:t>证书。</w:t>
      </w:r>
    </w:p>
    <w:p>
      <w:pPr>
        <w:spacing w:line="360" w:lineRule="auto"/>
        <w:rPr>
          <w:rFonts w:hint="eastAsia" w:ascii="宋体" w:hAnsi="宋体"/>
          <w:color w:val="auto"/>
          <w:szCs w:val="21"/>
          <w:lang w:val="en-US" w:eastAsia="zh-CN"/>
        </w:rPr>
      </w:pPr>
      <w:r>
        <w:rPr>
          <w:rFonts w:hint="eastAsia" w:ascii="宋体" w:hAnsi="宋体"/>
          <w:color w:val="auto"/>
          <w:szCs w:val="21"/>
          <w:lang w:val="en-US" w:eastAsia="zh-CN"/>
        </w:rPr>
        <w:t xml:space="preserve">      同次考试不能报考相同科目，最多可同时报考三个不同科目。</w:t>
      </w:r>
    </w:p>
    <w:p>
      <w:pPr>
        <w:ind w:firstLine="840" w:firstLineChars="400"/>
        <w:rPr>
          <w:rFonts w:hint="eastAsia" w:ascii="宋体" w:hAnsi="宋体" w:cs="宋体"/>
          <w:color w:val="000000"/>
          <w:kern w:val="0"/>
          <w:szCs w:val="21"/>
        </w:rPr>
      </w:pPr>
    </w:p>
    <w:p>
      <w:pPr>
        <w:rPr>
          <w:rFonts w:hint="eastAsia" w:ascii="宋体" w:hAnsi="宋体"/>
          <w:szCs w:val="21"/>
        </w:rPr>
      </w:pPr>
      <w:r>
        <w:rPr>
          <w:rFonts w:hint="eastAsia" w:ascii="宋体" w:hAnsi="宋体"/>
          <w:szCs w:val="21"/>
        </w:rPr>
        <w:t>收费标准：</w:t>
      </w:r>
    </w:p>
    <w:p>
      <w:pPr>
        <w:ind w:left="838" w:leftChars="399"/>
        <w:rPr>
          <w:rFonts w:hint="eastAsia" w:ascii="宋体" w:hAnsi="宋体"/>
          <w:szCs w:val="21"/>
        </w:rPr>
      </w:pPr>
      <w:r>
        <w:rPr>
          <w:rFonts w:hint="eastAsia" w:ascii="宋体" w:hAnsi="宋体" w:cs="宋体-18030"/>
          <w:szCs w:val="21"/>
        </w:rPr>
        <w:t>一级考试费90元，二级～四级考试费105元</w:t>
      </w:r>
    </w:p>
    <w:p>
      <w:pPr>
        <w:ind w:firstLine="1050" w:firstLineChars="500"/>
        <w:rPr>
          <w:rFonts w:hint="eastAsia" w:ascii="宋体" w:hAnsi="宋体"/>
          <w:szCs w:val="21"/>
        </w:rPr>
      </w:pPr>
    </w:p>
    <w:p>
      <w:pPr>
        <w:numPr>
          <w:ilvl w:val="0"/>
          <w:numId w:val="0"/>
        </w:numPr>
        <w:rPr>
          <w:rFonts w:hint="eastAsia" w:ascii="宋体" w:hAnsi="宋体"/>
          <w:szCs w:val="21"/>
        </w:rPr>
      </w:pPr>
      <w:r>
        <w:rPr>
          <w:rFonts w:hint="eastAsia" w:ascii="宋体" w:hAnsi="宋体"/>
          <w:szCs w:val="21"/>
        </w:rPr>
        <w:t>报名方法:</w:t>
      </w:r>
    </w:p>
    <w:p>
      <w:pPr>
        <w:numPr>
          <w:ilvl w:val="0"/>
          <w:numId w:val="0"/>
        </w:numPr>
        <w:rPr>
          <w:rFonts w:hint="eastAsia" w:ascii="宋体" w:hAnsi="宋体"/>
          <w:szCs w:val="21"/>
          <w:lang w:val="en-US" w:eastAsia="zh-CN"/>
        </w:rPr>
      </w:pPr>
    </w:p>
    <w:p>
      <w:pPr>
        <w:numPr>
          <w:ilvl w:val="0"/>
          <w:numId w:val="0"/>
        </w:numPr>
        <w:jc w:val="left"/>
        <w:rPr>
          <w:rFonts w:hint="eastAsia" w:ascii="宋体" w:hAnsi="宋体" w:eastAsia="宋体" w:cs="宋体"/>
        </w:rPr>
      </w:pPr>
      <w:r>
        <w:rPr>
          <w:rFonts w:hint="eastAsia" w:ascii="宋体" w:hAnsi="宋体" w:eastAsia="宋体" w:cs="宋体"/>
        </w:rPr>
        <w:t>①</w:t>
      </w:r>
      <w:r>
        <w:rPr>
          <w:rFonts w:hint="eastAsia" w:ascii="宋体" w:hAnsi="宋体" w:cs="宋体"/>
          <w:lang w:eastAsia="zh-CN"/>
        </w:rPr>
        <w:t>网上报名</w:t>
      </w:r>
    </w:p>
    <w:p>
      <w:pPr>
        <w:numPr>
          <w:ilvl w:val="0"/>
          <w:numId w:val="0"/>
        </w:numPr>
        <w:jc w:val="left"/>
        <w:rPr>
          <w:rFonts w:hint="eastAsia" w:ascii="宋体" w:hAnsi="宋体" w:eastAsia="宋体" w:cs="宋体"/>
        </w:rPr>
      </w:pPr>
      <w:r>
        <w:rPr>
          <w:rFonts w:hint="eastAsia" w:ascii="宋体" w:hAnsi="宋体" w:eastAsia="宋体" w:cs="宋体"/>
        </w:rPr>
        <w:t>2018年12月21日至201</w:t>
      </w:r>
      <w:r>
        <w:rPr>
          <w:rFonts w:hint="eastAsia" w:ascii="宋体" w:hAnsi="宋体" w:cs="宋体"/>
          <w:lang w:val="en-US" w:eastAsia="zh-CN"/>
        </w:rPr>
        <w:t>8</w:t>
      </w:r>
      <w:r>
        <w:rPr>
          <w:rFonts w:hint="eastAsia" w:ascii="宋体" w:hAnsi="宋体" w:eastAsia="宋体" w:cs="宋体"/>
        </w:rPr>
        <w:t>年1</w:t>
      </w:r>
      <w:r>
        <w:rPr>
          <w:rFonts w:hint="eastAsia" w:ascii="宋体" w:hAnsi="宋体" w:cs="宋体"/>
          <w:lang w:val="en-US" w:eastAsia="zh-CN"/>
        </w:rPr>
        <w:t>2</w:t>
      </w:r>
      <w:r>
        <w:rPr>
          <w:rFonts w:hint="eastAsia" w:ascii="宋体" w:hAnsi="宋体" w:eastAsia="宋体" w:cs="宋体"/>
        </w:rPr>
        <w:t>月</w:t>
      </w:r>
      <w:r>
        <w:rPr>
          <w:rFonts w:hint="eastAsia" w:ascii="宋体" w:hAnsi="宋体" w:cs="宋体"/>
          <w:lang w:val="en-US" w:eastAsia="zh-CN"/>
        </w:rPr>
        <w:t>31</w:t>
      </w:r>
      <w:r>
        <w:rPr>
          <w:rFonts w:hint="eastAsia" w:ascii="宋体" w:hAnsi="宋体" w:eastAsia="宋体" w:cs="宋体"/>
        </w:rPr>
        <w:t>日，</w:t>
      </w:r>
      <w:r>
        <w:rPr>
          <w:rFonts w:hint="eastAsia" w:ascii="宋体" w:hAnsi="宋体" w:cs="宋体"/>
          <w:lang w:eastAsia="zh-CN"/>
        </w:rPr>
        <w:t>请</w:t>
      </w:r>
      <w:r>
        <w:rPr>
          <w:rFonts w:hint="eastAsia" w:ascii="宋体" w:hAnsi="宋体" w:eastAsia="宋体" w:cs="宋体"/>
        </w:rPr>
        <w:t>考生</w:t>
      </w:r>
      <w:r>
        <w:rPr>
          <w:rFonts w:hint="eastAsia" w:ascii="宋体" w:hAnsi="宋体" w:cs="宋体"/>
          <w:lang w:eastAsia="zh-CN"/>
        </w:rPr>
        <w:t>尽快登录福建省教育考试院网站（</w:t>
      </w:r>
      <w:r>
        <w:rPr>
          <w:rFonts w:hint="eastAsia" w:ascii="宋体" w:hAnsi="宋体" w:cs="宋体"/>
          <w:lang w:val="en-US" w:eastAsia="zh-CN"/>
        </w:rPr>
        <w:t>www.eeafj.cn</w:t>
      </w:r>
      <w:r>
        <w:rPr>
          <w:rFonts w:hint="eastAsia" w:ascii="宋体" w:hAnsi="宋体" w:cs="宋体"/>
          <w:lang w:eastAsia="zh-CN"/>
        </w:rPr>
        <w:t>），通过点击首页右侧“数字服务大厅”的“社会考试”栏目“</w:t>
      </w:r>
      <w:r>
        <w:rPr>
          <w:rFonts w:hint="eastAsia" w:ascii="宋体" w:hAnsi="宋体" w:cs="宋体"/>
          <w:lang w:val="en-US" w:eastAsia="zh-CN"/>
        </w:rPr>
        <w:t>NCRE考生报名</w:t>
      </w:r>
      <w:r>
        <w:rPr>
          <w:rFonts w:hint="eastAsia" w:ascii="宋体" w:hAnsi="宋体" w:cs="宋体"/>
          <w:lang w:eastAsia="zh-CN"/>
        </w:rPr>
        <w:t>”（直接点击进入网报系统）</w:t>
      </w:r>
    </w:p>
    <w:p>
      <w:pPr>
        <w:numPr>
          <w:ilvl w:val="0"/>
          <w:numId w:val="0"/>
        </w:numPr>
        <w:jc w:val="left"/>
        <w:rPr>
          <w:rFonts w:hint="eastAsia" w:ascii="宋体" w:hAnsi="宋体" w:eastAsia="宋体" w:cs="宋体"/>
        </w:rPr>
      </w:pPr>
    </w:p>
    <w:p>
      <w:pPr>
        <w:numPr>
          <w:ilvl w:val="0"/>
          <w:numId w:val="0"/>
        </w:numPr>
        <w:jc w:val="left"/>
        <w:rPr>
          <w:rFonts w:hint="eastAsia" w:ascii="宋体" w:hAnsi="宋体" w:cs="宋体"/>
          <w:color w:val="FF0000"/>
          <w:lang w:eastAsia="zh-CN"/>
        </w:rPr>
      </w:pPr>
      <w:r>
        <w:rPr>
          <w:rFonts w:hint="eastAsia" w:ascii="宋体" w:hAnsi="宋体" w:cs="宋体"/>
          <w:lang w:eastAsia="zh-CN"/>
        </w:rPr>
        <w:t>考生须登陆该网站进行网上报名，填写报名信息、上传白底证件照，凡是上传艺术照、生活照、用旧照片或身份证上的照片翻拍及自拍照片一律视为不合格照片；然后</w:t>
      </w:r>
      <w:r>
        <w:rPr>
          <w:rFonts w:hint="eastAsia" w:ascii="宋体" w:hAnsi="宋体" w:cs="宋体"/>
          <w:color w:val="auto"/>
          <w:lang w:eastAsia="zh-CN"/>
        </w:rPr>
        <w:t>选择（</w:t>
      </w:r>
      <w:r>
        <w:rPr>
          <w:rFonts w:hint="eastAsia" w:ascii="宋体" w:hAnsi="宋体" w:cs="宋体"/>
          <w:color w:val="auto"/>
          <w:lang w:val="en-US" w:eastAsia="zh-CN"/>
        </w:rPr>
        <w:t>351103</w:t>
      </w:r>
      <w:r>
        <w:rPr>
          <w:rFonts w:hint="eastAsia" w:ascii="宋体" w:hAnsi="宋体" w:cs="宋体"/>
          <w:color w:val="auto"/>
          <w:lang w:eastAsia="zh-CN"/>
        </w:rPr>
        <w:t>）福州大学至诚学院考点</w:t>
      </w:r>
      <w:r>
        <w:rPr>
          <w:rFonts w:hint="eastAsia" w:ascii="宋体" w:hAnsi="宋体" w:cs="宋体"/>
          <w:lang w:eastAsia="zh-CN"/>
        </w:rPr>
        <w:t>，在自定义信息栏里填写至诚学院。在确认个人信息与报考信息无误后通过网银支付报名费。</w:t>
      </w:r>
      <w:r>
        <w:rPr>
          <w:rFonts w:hint="eastAsia" w:ascii="宋体" w:hAnsi="宋体" w:cs="宋体"/>
          <w:color w:val="FF0000"/>
          <w:lang w:eastAsia="zh-CN"/>
        </w:rPr>
        <w:t>考生一旦支付无法更改信息，并对自己报名信息负责；考生填报信息后如果1小时内未支付，系统将自动删除报名信息。</w:t>
      </w:r>
      <w:r>
        <w:rPr>
          <w:rFonts w:hint="eastAsia" w:ascii="宋体" w:hAnsi="宋体" w:cs="宋体"/>
          <w:lang w:eastAsia="zh-CN"/>
        </w:rPr>
        <w:t>考生网络报名成功后，可在</w:t>
      </w:r>
      <w:r>
        <w:rPr>
          <w:rFonts w:hint="eastAsia" w:ascii="宋体" w:hAnsi="宋体" w:cs="宋体"/>
          <w:lang w:val="en-US" w:eastAsia="zh-CN"/>
        </w:rPr>
        <w:t>3</w:t>
      </w:r>
      <w:r>
        <w:rPr>
          <w:rFonts w:hint="eastAsia" w:ascii="宋体" w:hAnsi="宋体" w:cs="宋体"/>
          <w:lang w:eastAsia="zh-CN"/>
        </w:rPr>
        <w:t>月上旬直接登录网上报名系统使用</w:t>
      </w:r>
      <w:r>
        <w:rPr>
          <w:rFonts w:hint="eastAsia" w:ascii="宋体" w:hAnsi="宋体" w:cs="宋体"/>
          <w:lang w:val="en-US" w:eastAsia="zh-CN"/>
        </w:rPr>
        <w:t>A4纸</w:t>
      </w:r>
      <w:r>
        <w:rPr>
          <w:rFonts w:hint="eastAsia" w:ascii="宋体" w:hAnsi="宋体" w:cs="宋体"/>
          <w:lang w:eastAsia="zh-CN"/>
        </w:rPr>
        <w:t>打印准考证。</w:t>
      </w:r>
      <w:r>
        <w:rPr>
          <w:rFonts w:hint="eastAsia" w:ascii="宋体" w:hAnsi="宋体" w:cs="宋体"/>
          <w:color w:val="FF0000"/>
          <w:lang w:eastAsia="zh-CN"/>
        </w:rPr>
        <w:t>详细方法请参考附件。</w:t>
      </w:r>
    </w:p>
    <w:p>
      <w:pPr>
        <w:numPr>
          <w:ilvl w:val="0"/>
          <w:numId w:val="0"/>
        </w:numPr>
        <w:jc w:val="left"/>
        <w:rPr>
          <w:rFonts w:hint="eastAsia" w:ascii="宋体" w:hAnsi="宋体" w:cs="宋体"/>
          <w:color w:val="FF0000"/>
          <w:lang w:eastAsia="zh-CN"/>
        </w:rPr>
      </w:pPr>
    </w:p>
    <w:p>
      <w:pPr>
        <w:numPr>
          <w:ilvl w:val="0"/>
          <w:numId w:val="0"/>
        </w:numPr>
        <w:jc w:val="left"/>
        <w:rPr>
          <w:rFonts w:hint="eastAsia" w:ascii="宋体" w:hAnsi="宋体"/>
          <w:sz w:val="28"/>
          <w:szCs w:val="28"/>
          <w:lang w:val="en-US" w:eastAsia="zh-CN"/>
        </w:rPr>
      </w:pPr>
      <w:r>
        <w:rPr>
          <w:rFonts w:hint="eastAsia" w:ascii="宋体" w:hAnsi="宋体"/>
          <w:sz w:val="28"/>
          <w:szCs w:val="28"/>
          <w:lang w:val="en-US" w:eastAsia="zh-CN"/>
        </w:rPr>
        <w:sym w:font="Wingdings" w:char="F082"/>
      </w:r>
    </w:p>
    <w:p>
      <w:pPr>
        <w:numPr>
          <w:ilvl w:val="0"/>
          <w:numId w:val="0"/>
        </w:numPr>
        <w:jc w:val="left"/>
        <w:rPr>
          <w:rFonts w:hint="eastAsia" w:ascii="宋体" w:hAnsi="宋体"/>
          <w:color w:val="333333"/>
          <w:szCs w:val="21"/>
        </w:rPr>
      </w:pPr>
      <w:r>
        <w:rPr>
          <w:rFonts w:hint="eastAsia" w:ascii="宋体" w:hAnsi="宋体"/>
          <w:szCs w:val="21"/>
          <w:lang w:val="en-US" w:eastAsia="zh-CN"/>
        </w:rPr>
        <w:t>考生如网上报名出现问题，可以携带身份证原件和费用</w:t>
      </w:r>
      <w:r>
        <w:rPr>
          <w:rFonts w:hint="eastAsia" w:ascii="宋体" w:hAnsi="宋体"/>
          <w:szCs w:val="21"/>
          <w:lang w:eastAsia="zh-CN"/>
        </w:rPr>
        <w:t>在</w:t>
      </w:r>
      <w:r>
        <w:rPr>
          <w:rFonts w:hint="eastAsia" w:ascii="宋体" w:hAnsi="宋体"/>
          <w:szCs w:val="21"/>
          <w:lang w:val="en-US" w:eastAsia="zh-CN"/>
        </w:rPr>
        <w:t>12月21日至12月28日的</w:t>
      </w:r>
      <w:r>
        <w:rPr>
          <w:rFonts w:hint="eastAsia" w:ascii="宋体" w:hAnsi="宋体"/>
          <w:szCs w:val="21"/>
          <w:lang w:eastAsia="zh-CN"/>
        </w:rPr>
        <w:t>工作时间下午至校内</w:t>
      </w:r>
      <w:r>
        <w:rPr>
          <w:rFonts w:hint="eastAsia" w:ascii="宋体" w:hAnsi="宋体"/>
          <w:szCs w:val="21"/>
        </w:rPr>
        <w:t>地矿楼111室</w:t>
      </w:r>
      <w:r>
        <w:rPr>
          <w:rFonts w:hint="eastAsia" w:ascii="宋体" w:hAnsi="宋体"/>
          <w:szCs w:val="21"/>
          <w:lang w:eastAsia="zh-CN"/>
        </w:rPr>
        <w:t>进行现场报名</w:t>
      </w:r>
      <w:r>
        <w:rPr>
          <w:rFonts w:hint="eastAsia" w:ascii="宋体" w:hAnsi="宋体"/>
          <w:color w:val="333333"/>
          <w:szCs w:val="21"/>
        </w:rPr>
        <w:t>。</w:t>
      </w:r>
    </w:p>
    <w:p>
      <w:pPr>
        <w:jc w:val="left"/>
        <w:rPr>
          <w:rFonts w:hint="eastAsia" w:ascii="宋体" w:hAnsi="宋体"/>
          <w:szCs w:val="21"/>
        </w:rPr>
      </w:pPr>
    </w:p>
    <w:p>
      <w:pPr>
        <w:rPr>
          <w:rFonts w:hint="eastAsia" w:ascii="宋体" w:hAnsi="宋体"/>
          <w:szCs w:val="21"/>
        </w:rPr>
      </w:pPr>
      <w:r>
        <w:rPr>
          <w:rFonts w:hint="eastAsia" w:ascii="宋体" w:hAnsi="宋体"/>
          <w:szCs w:val="21"/>
        </w:rPr>
        <w:t>4.</w:t>
      </w:r>
      <w:r>
        <w:rPr>
          <w:rFonts w:hint="eastAsia" w:ascii="宋体" w:hAnsi="宋体"/>
          <w:szCs w:val="21"/>
          <w:lang w:eastAsia="zh-CN"/>
        </w:rPr>
        <w:t>时间安排</w:t>
      </w:r>
    </w:p>
    <w:p>
      <w:pPr>
        <w:rPr>
          <w:rFonts w:hint="eastAsia" w:ascii="宋体" w:hAnsi="宋体" w:eastAsia="宋体"/>
          <w:szCs w:val="21"/>
          <w:lang w:val="en-US" w:eastAsia="zh-CN"/>
        </w:rPr>
      </w:pPr>
      <w:r>
        <w:rPr>
          <w:rFonts w:hint="eastAsia" w:ascii="宋体" w:hAnsi="宋体"/>
          <w:szCs w:val="21"/>
          <w:lang w:val="en-US" w:eastAsia="zh-CN"/>
        </w:rPr>
        <w:t>网上报名时间：</w:t>
      </w:r>
      <w:r>
        <w:rPr>
          <w:rFonts w:hint="eastAsia" w:ascii="宋体" w:hAnsi="宋体" w:cs="宋体"/>
          <w:lang w:val="en-US" w:eastAsia="zh-CN"/>
        </w:rPr>
        <w:t>2018年12月21日至2018年12月31日</w:t>
      </w:r>
    </w:p>
    <w:p>
      <w:pPr>
        <w:rPr>
          <w:rFonts w:hint="eastAsia" w:ascii="宋体" w:hAnsi="宋体"/>
          <w:szCs w:val="21"/>
          <w:lang w:val="en-US" w:eastAsia="zh-CN"/>
        </w:rPr>
      </w:pPr>
      <w:r>
        <w:rPr>
          <w:rFonts w:hint="eastAsia" w:ascii="宋体" w:hAnsi="宋体"/>
          <w:szCs w:val="21"/>
        </w:rPr>
        <w:t>考试时间：201</w:t>
      </w:r>
      <w:r>
        <w:rPr>
          <w:rFonts w:hint="eastAsia" w:ascii="宋体" w:hAnsi="宋体"/>
          <w:szCs w:val="21"/>
          <w:lang w:val="en-US" w:eastAsia="zh-CN"/>
        </w:rPr>
        <w:t>9</w:t>
      </w:r>
      <w:r>
        <w:rPr>
          <w:rFonts w:hint="eastAsia" w:ascii="宋体" w:hAnsi="宋体"/>
          <w:szCs w:val="21"/>
        </w:rPr>
        <w:t>年</w:t>
      </w:r>
      <w:r>
        <w:rPr>
          <w:rFonts w:hint="eastAsia" w:ascii="宋体" w:hAnsi="宋体"/>
          <w:szCs w:val="21"/>
          <w:lang w:val="en-US" w:eastAsia="zh-CN"/>
        </w:rPr>
        <w:t>3月30日至4月1日。以准考证上具体考试日期为准。</w:t>
      </w:r>
    </w:p>
    <w:p>
      <w:pPr>
        <w:rPr>
          <w:rFonts w:hint="eastAsia" w:ascii="宋体" w:hAnsi="宋体"/>
          <w:szCs w:val="21"/>
          <w:lang w:val="en-US" w:eastAsia="zh-CN"/>
        </w:rPr>
      </w:pPr>
      <w:r>
        <w:rPr>
          <w:rFonts w:hint="eastAsia" w:ascii="宋体" w:hAnsi="宋体"/>
          <w:szCs w:val="21"/>
          <w:lang w:val="en-US" w:eastAsia="zh-CN"/>
        </w:rPr>
        <w:t>考试地点：轻工楼。以准考证上具体信息为准。</w:t>
      </w:r>
    </w:p>
    <w:p>
      <w:pPr>
        <w:rPr>
          <w:rFonts w:hint="eastAsia" w:ascii="宋体" w:hAnsi="宋体"/>
          <w:szCs w:val="21"/>
          <w:lang w:val="en-US" w:eastAsia="zh-CN"/>
        </w:rPr>
      </w:pPr>
      <w:r>
        <w:rPr>
          <w:rFonts w:hint="eastAsia" w:ascii="宋体" w:hAnsi="宋体"/>
          <w:szCs w:val="21"/>
          <w:lang w:val="en-US" w:eastAsia="zh-CN"/>
        </w:rPr>
        <w:t>准考证网上打印时间：2019年</w:t>
      </w:r>
      <w:bookmarkStart w:id="0" w:name="_GoBack"/>
      <w:bookmarkEnd w:id="0"/>
      <w:r>
        <w:rPr>
          <w:rFonts w:hint="eastAsia" w:ascii="宋体" w:hAnsi="宋体"/>
          <w:szCs w:val="21"/>
          <w:lang w:val="en-US" w:eastAsia="zh-CN"/>
        </w:rPr>
        <w:t>3</w:t>
      </w:r>
      <w:r>
        <w:rPr>
          <w:rFonts w:hint="eastAsia" w:ascii="宋体" w:hAnsi="宋体" w:cs="宋体"/>
          <w:lang w:eastAsia="zh-CN"/>
        </w:rPr>
        <w:t>月上旬</w:t>
      </w:r>
    </w:p>
    <w:p>
      <w:pPr>
        <w:jc w:val="left"/>
        <w:rPr>
          <w:rFonts w:hint="eastAsia" w:ascii="宋体" w:hAnsi="宋体"/>
          <w:szCs w:val="21"/>
          <w:lang w:val="en-US" w:eastAsia="zh-CN"/>
        </w:rPr>
      </w:pPr>
      <w:r>
        <w:rPr>
          <w:rFonts w:hint="eastAsia" w:ascii="宋体" w:hAnsi="宋体"/>
          <w:szCs w:val="21"/>
          <w:lang w:val="en-US" w:eastAsia="zh-CN"/>
        </w:rPr>
        <w:t>考试成绩查询时间：考试成绩将于50天内通过教育部考试中心综合查询网 （chaxun.neea.edu.cn）公布。</w:t>
      </w:r>
    </w:p>
    <w:p>
      <w:pPr>
        <w:rPr>
          <w:rFonts w:hint="eastAsia" w:ascii="宋体" w:hAnsi="宋体"/>
          <w:szCs w:val="21"/>
          <w:lang w:val="en-US" w:eastAsia="zh-CN"/>
        </w:rPr>
      </w:pPr>
      <w:r>
        <w:rPr>
          <w:rFonts w:hint="eastAsia" w:ascii="宋体" w:hAnsi="宋体"/>
          <w:szCs w:val="21"/>
          <w:lang w:val="en-US" w:eastAsia="zh-CN"/>
        </w:rPr>
        <w:t>合格证发放时间：证书下发后会在http://www.eeafj.cn/syfxlksyy/ 公示公告</w:t>
      </w:r>
    </w:p>
    <w:p>
      <w:pPr>
        <w:rPr>
          <w:rFonts w:hint="eastAsia" w:ascii="宋体" w:hAnsi="宋体"/>
          <w:szCs w:val="21"/>
          <w:lang w:val="en-US" w:eastAsia="zh-CN"/>
        </w:rPr>
      </w:pPr>
    </w:p>
    <w:p>
      <w:pPr>
        <w:rPr>
          <w:rFonts w:hint="eastAsia" w:ascii="宋体" w:hAnsi="宋体"/>
          <w:szCs w:val="21"/>
          <w:lang w:val="en-US" w:eastAsia="zh-CN"/>
        </w:rPr>
      </w:pPr>
      <w:r>
        <w:rPr>
          <w:rFonts w:hint="eastAsia" w:ascii="宋体" w:hAnsi="宋体"/>
          <w:szCs w:val="21"/>
          <w:lang w:val="en-US" w:eastAsia="zh-CN"/>
        </w:rPr>
        <w:t>考点联系电话：87893385</w:t>
      </w:r>
    </w:p>
    <w:p>
      <w:pPr>
        <w:rPr>
          <w:rFonts w:hint="eastAsia" w:ascii="宋体" w:hAnsi="宋体"/>
          <w:color w:val="FF0000"/>
          <w:szCs w:val="21"/>
        </w:rPr>
      </w:pPr>
    </w:p>
    <w:p>
      <w:pPr>
        <w:rPr>
          <w:rFonts w:hint="eastAsia" w:ascii="宋体" w:hAnsi="宋体" w:eastAsia="宋体"/>
          <w:color w:val="auto"/>
          <w:szCs w:val="21"/>
          <w:lang w:val="en-US" w:eastAsia="zh-CN"/>
        </w:rPr>
      </w:pPr>
      <w:r>
        <w:rPr>
          <w:rFonts w:hint="eastAsia" w:ascii="宋体" w:hAnsi="宋体"/>
          <w:color w:val="auto"/>
          <w:szCs w:val="21"/>
          <w:lang w:eastAsia="zh-CN"/>
        </w:rPr>
        <w:t>附件：全国计算机等级考试考生报名使用说明书</w:t>
      </w:r>
      <w:r>
        <w:rPr>
          <w:rFonts w:hint="eastAsia" w:ascii="宋体" w:hAnsi="宋体"/>
          <w:color w:val="auto"/>
          <w:szCs w:val="21"/>
          <w:lang w:val="en-US" w:eastAsia="zh-CN"/>
        </w:rPr>
        <w:t>.DOC</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2010609060101010101"/>
    <w:charset w:val="86"/>
    <w:family w:val="modern"/>
    <w:pitch w:val="default"/>
    <w:sig w:usb0="00000000" w:usb1="00000000" w:usb2="000A005E"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1218A"/>
    <w:rsid w:val="0A681A88"/>
    <w:rsid w:val="19EA7F05"/>
    <w:rsid w:val="257F4CC0"/>
    <w:rsid w:val="35AF63CA"/>
    <w:rsid w:val="36AE59AB"/>
    <w:rsid w:val="3BA14B98"/>
    <w:rsid w:val="40583E84"/>
    <w:rsid w:val="5CD67C62"/>
    <w:rsid w:val="608C10D5"/>
    <w:rsid w:val="6DD12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94</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2017-12-15T03:02:00Z</dcterms:created>
  <dc:creator>lin1425199808</dc:creator>
  <cp:lastModifiedBy>Administrator</cp:lastModifiedBy>
  <dcterms:modified xsi:type="dcterms:W3CDTF">2018-12-21T01:25:35Z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